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63275A67" w14:textId="77777777" w:rsidR="00092B4F" w:rsidRDefault="00092B4F" w:rsidP="00092B4F">
      <w:pPr>
        <w:pStyle w:val="NoSpacing"/>
        <w:jc w:val="right"/>
      </w:pPr>
      <w:r>
        <w:t>Precise IG Solutions B.V.</w:t>
      </w:r>
    </w:p>
    <w:p w14:paraId="77C41DCC" w14:textId="77777777" w:rsidR="00092B4F" w:rsidRDefault="00092B4F" w:rsidP="00092B4F">
      <w:pPr>
        <w:pStyle w:val="NoSpacing"/>
        <w:jc w:val="right"/>
      </w:pPr>
      <w:proofErr w:type="spellStart"/>
      <w:r>
        <w:t>Schottegatweg</w:t>
      </w:r>
      <w:proofErr w:type="spellEnd"/>
      <w:r>
        <w:t xml:space="preserve"> Oost Unit 1-9 Bon Bini Business </w:t>
      </w:r>
      <w:proofErr w:type="spellStart"/>
      <w:r>
        <w:t>Center</w:t>
      </w:r>
      <w:proofErr w:type="spellEnd"/>
      <w:r>
        <w:t>,</w:t>
      </w:r>
    </w:p>
    <w:p w14:paraId="39B80908" w14:textId="77777777" w:rsidR="00092B4F" w:rsidRDefault="00092B4F" w:rsidP="00092B4F">
      <w:pPr>
        <w:pStyle w:val="NoSpacing"/>
        <w:jc w:val="right"/>
      </w:pPr>
      <w:r>
        <w:t>Willemstad, Curacao.</w:t>
      </w:r>
    </w:p>
    <w:p w14:paraId="289D7863" w14:textId="643F3D5D" w:rsidR="00723C80" w:rsidRDefault="00092B4F" w:rsidP="00092B4F">
      <w:pPr>
        <w:pStyle w:val="NoSpacing"/>
        <w:jc w:val="right"/>
      </w:pPr>
      <w:r>
        <w:t>Registration number: 162989</w:t>
      </w:r>
    </w:p>
    <w:p w14:paraId="7961C109" w14:textId="77777777" w:rsidR="00912D14" w:rsidRDefault="00912D14" w:rsidP="00723C80">
      <w:pPr>
        <w:pStyle w:val="NoSpacing"/>
      </w:pPr>
    </w:p>
    <w:p w14:paraId="1DBBFBD4" w14:textId="06ABA61B" w:rsidR="00723C80" w:rsidRDefault="00373C57" w:rsidP="00723C80">
      <w:pPr>
        <w:pStyle w:val="NoSpacing"/>
        <w:rPr>
          <w:b/>
          <w:bCs/>
          <w:sz w:val="28"/>
          <w:szCs w:val="28"/>
        </w:rPr>
      </w:pPr>
      <w:r>
        <w:rPr>
          <w:b/>
          <w:bCs/>
          <w:sz w:val="28"/>
          <w:szCs w:val="28"/>
        </w:rPr>
        <w:t>Fairness &amp; RNG Testing Methods</w:t>
      </w:r>
      <w:r w:rsidR="00723C80" w:rsidRPr="00912D14">
        <w:rPr>
          <w:b/>
          <w:bCs/>
          <w:sz w:val="28"/>
          <w:szCs w:val="28"/>
        </w:rPr>
        <w:t xml:space="preserve"> Policy</w:t>
      </w:r>
    </w:p>
    <w:p w14:paraId="61535F83" w14:textId="77777777" w:rsidR="00D41730" w:rsidRPr="00912D14" w:rsidRDefault="00D41730" w:rsidP="00723C80">
      <w:pPr>
        <w:pStyle w:val="NoSpacing"/>
        <w:rPr>
          <w:b/>
          <w:bCs/>
          <w:sz w:val="28"/>
          <w:szCs w:val="28"/>
        </w:rPr>
      </w:pPr>
    </w:p>
    <w:p w14:paraId="3141AB75" w14:textId="2F6E491D"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294E0909"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146765">
        <w:rPr>
          <w:i/>
          <w:iCs/>
        </w:rPr>
        <w:t>5</w:t>
      </w:r>
    </w:p>
    <w:p w14:paraId="66B4823C" w14:textId="77777777" w:rsidR="00723C80" w:rsidRDefault="00723C80" w:rsidP="00723C80">
      <w:pPr>
        <w:pStyle w:val="NoSpacing"/>
      </w:pPr>
    </w:p>
    <w:p w14:paraId="2154B33D" w14:textId="77777777" w:rsidR="00C10F13" w:rsidRDefault="00C10F13" w:rsidP="00C10F13">
      <w:pPr>
        <w:pStyle w:val="NoSpacing"/>
      </w:pPr>
      <w:r>
        <w:t>1. Overview</w:t>
      </w:r>
    </w:p>
    <w:p w14:paraId="3641DCAE" w14:textId="77777777" w:rsidR="000D6DF0" w:rsidRDefault="000D6DF0" w:rsidP="00C10F13">
      <w:pPr>
        <w:pStyle w:val="NoSpacing"/>
      </w:pPr>
    </w:p>
    <w:p w14:paraId="0EE1A184" w14:textId="246C152C" w:rsidR="00DA4B24" w:rsidRDefault="00F630BF" w:rsidP="00972EB9">
      <w:pPr>
        <w:pStyle w:val="NoSpacing"/>
        <w:numPr>
          <w:ilvl w:val="1"/>
          <w:numId w:val="12"/>
        </w:numPr>
      </w:pPr>
      <w:r w:rsidRPr="00F630BF">
        <w:t xml:space="preserve">Precise IG Solutions B.V., registration number: 162989, registered address: </w:t>
      </w:r>
      <w:proofErr w:type="spellStart"/>
      <w:r w:rsidRPr="00F630BF">
        <w:t>Schottegatweg</w:t>
      </w:r>
      <w:proofErr w:type="spellEnd"/>
      <w:r w:rsidRPr="00F630BF">
        <w:t xml:space="preserve"> Oost Unit 1-9 Bon Bini Business </w:t>
      </w:r>
      <w:proofErr w:type="spellStart"/>
      <w:r w:rsidRPr="00F630BF">
        <w:t>Center</w:t>
      </w:r>
      <w:proofErr w:type="spellEnd"/>
      <w:r w:rsidRPr="00F630BF">
        <w:t>, Willemstad, Curacao</w:t>
      </w:r>
      <w:r w:rsidRPr="00F630BF">
        <w:t xml:space="preserve"> </w:t>
      </w:r>
      <w:r>
        <w:t xml:space="preserve"> </w:t>
      </w:r>
      <w:r w:rsidR="00C10F13">
        <w:t>(the “</w:t>
      </w:r>
      <w:r w:rsidR="00EB32B7" w:rsidRPr="00A663A0">
        <w:rPr>
          <w:b/>
          <w:bCs/>
        </w:rPr>
        <w:t>Company</w:t>
      </w:r>
      <w:r w:rsidR="00C10F13">
        <w:t xml:space="preserve"> or “</w:t>
      </w:r>
      <w:r w:rsidR="00C10F13" w:rsidRPr="00A663A0">
        <w:rPr>
          <w:b/>
          <w:bCs/>
        </w:rPr>
        <w:t>we</w:t>
      </w:r>
      <w:r w:rsidR="00C10F13">
        <w:t xml:space="preserve">”) </w:t>
      </w:r>
      <w:r w:rsidR="00972EB9">
        <w:t xml:space="preserve">is operating via website https://coinpoker.com/ (or associated companies websites) or app and </w:t>
      </w:r>
      <w:r w:rsidR="00A663A0" w:rsidRPr="00A663A0">
        <w:t>is licensed and regulated by the Government of the Autonomous Island of Anjouan, Union of Comoros and operates under License No. ALSl-202412004-FI1</w:t>
      </w:r>
    </w:p>
    <w:p w14:paraId="7D0FB45E" w14:textId="77777777" w:rsidR="00E2171A" w:rsidRDefault="00E2171A" w:rsidP="00E2171A">
      <w:pPr>
        <w:pStyle w:val="NoSpacing"/>
        <w:ind w:left="720"/>
      </w:pPr>
    </w:p>
    <w:p w14:paraId="5F26381B" w14:textId="5F12A3DF" w:rsidR="00972EB9" w:rsidRDefault="00972EB9" w:rsidP="00972EB9">
      <w:pPr>
        <w:pStyle w:val="NoSpacing"/>
        <w:numPr>
          <w:ilvl w:val="1"/>
          <w:numId w:val="12"/>
        </w:numPr>
      </w:pPr>
      <w:r>
        <w:t>Company has agreements with professional games and gambling software provider (developer and aggregator) to ensure fairness of games provided in the Company’s platform.</w:t>
      </w:r>
    </w:p>
    <w:p w14:paraId="0AD5C9D4" w14:textId="77777777" w:rsidR="00E2171A" w:rsidRDefault="00E2171A" w:rsidP="00E2171A">
      <w:pPr>
        <w:pStyle w:val="NoSpacing"/>
      </w:pPr>
    </w:p>
    <w:p w14:paraId="58434ECE" w14:textId="0C7F6E94" w:rsidR="00972EB9" w:rsidRDefault="00972EB9" w:rsidP="00972EB9">
      <w:pPr>
        <w:pStyle w:val="NoSpacing"/>
        <w:numPr>
          <w:ilvl w:val="1"/>
          <w:numId w:val="12"/>
        </w:numPr>
      </w:pPr>
      <w:r>
        <w:t>The Company’s software technology, IT infrastructure, and technical development are managed by the Company together with certified software provider. Gambling software is certified and tested by Gaming Laboratories International LLC https://gaminglabs.com/, a global, well-known and reputable iGaming certifier. This respectable, and trustable certifier guarantees fairness, security of data, and best iGaming quality for all customers.</w:t>
      </w:r>
    </w:p>
    <w:p w14:paraId="31AF2C97" w14:textId="77777777" w:rsidR="00E2171A" w:rsidRDefault="00E2171A" w:rsidP="00E2171A">
      <w:pPr>
        <w:pStyle w:val="NoSpacing"/>
      </w:pPr>
    </w:p>
    <w:p w14:paraId="29331D5D" w14:textId="06141E78" w:rsidR="00972EB9" w:rsidRDefault="00972EB9" w:rsidP="00972EB9">
      <w:pPr>
        <w:pStyle w:val="NoSpacing"/>
        <w:numPr>
          <w:ilvl w:val="1"/>
          <w:numId w:val="12"/>
        </w:numPr>
      </w:pPr>
      <w:r>
        <w:t>The Company’s commercial agreements and business partners has been confirmed with by designated authorities in regards of fairness by all games offered via website https://coinpoker.com/ (or associated companies websites).</w:t>
      </w:r>
    </w:p>
    <w:p w14:paraId="08B686C0" w14:textId="77777777" w:rsidR="00E2171A" w:rsidRDefault="00E2171A" w:rsidP="00E2171A">
      <w:pPr>
        <w:pStyle w:val="NoSpacing"/>
      </w:pPr>
    </w:p>
    <w:p w14:paraId="28FA3B2C" w14:textId="478464D0" w:rsidR="00972EB9" w:rsidRDefault="00972EB9" w:rsidP="00972EB9">
      <w:pPr>
        <w:pStyle w:val="NoSpacing"/>
        <w:numPr>
          <w:ilvl w:val="1"/>
          <w:numId w:val="12"/>
        </w:numPr>
      </w:pPr>
      <w:proofErr w:type="gramStart"/>
      <w:r>
        <w:t>In order to</w:t>
      </w:r>
      <w:proofErr w:type="gramEnd"/>
      <w:r>
        <w:t xml:space="preserve"> ensure the integrity of the casino games, a Random Number Generator (the “RNG”) is used where applicable to determine the random outcome of such games. This is a standard industry system that ensures consistently random results which also has been extensively tested by running and </w:t>
      </w:r>
      <w:proofErr w:type="spellStart"/>
      <w:r>
        <w:t>analyzing</w:t>
      </w:r>
      <w:proofErr w:type="spellEnd"/>
      <w:r>
        <w:t xml:space="preserve"> thousands of game rounds. The randomness of the RNG provides a credible and fair gaming environment.</w:t>
      </w:r>
    </w:p>
    <w:p w14:paraId="52756582" w14:textId="77777777" w:rsidR="00E2171A" w:rsidRDefault="00E2171A" w:rsidP="00E2171A">
      <w:pPr>
        <w:pStyle w:val="NoSpacing"/>
      </w:pPr>
    </w:p>
    <w:p w14:paraId="289DD7F9" w14:textId="4B75742E" w:rsidR="00BC1330" w:rsidRDefault="00972EB9" w:rsidP="00BC1330">
      <w:pPr>
        <w:pStyle w:val="NoSpacing"/>
        <w:numPr>
          <w:ilvl w:val="1"/>
          <w:numId w:val="12"/>
        </w:numPr>
      </w:pPr>
      <w:r>
        <w:t>All you need to know about the Random Number Generator (RNG):</w:t>
      </w:r>
    </w:p>
    <w:p w14:paraId="42A814B9" w14:textId="77777777" w:rsidR="00972EB9" w:rsidRDefault="00972EB9" w:rsidP="00BC1330">
      <w:pPr>
        <w:pStyle w:val="NoSpacing"/>
        <w:ind w:left="1440"/>
      </w:pPr>
      <w:r>
        <w:t xml:space="preserve">• The RNG is a computer program that produces the results of every game you play on our </w:t>
      </w:r>
      <w:proofErr w:type="gramStart"/>
      <w:r>
        <w:t>site;</w:t>
      </w:r>
      <w:proofErr w:type="gramEnd"/>
    </w:p>
    <w:p w14:paraId="452FC942" w14:textId="77777777" w:rsidR="00972EB9" w:rsidRDefault="00972EB9" w:rsidP="00BC1330">
      <w:pPr>
        <w:pStyle w:val="NoSpacing"/>
        <w:ind w:left="1440"/>
      </w:pPr>
      <w:r>
        <w:t xml:space="preserve">• The RNG is entirely random, and results can neither be manipulated nor </w:t>
      </w:r>
      <w:proofErr w:type="gramStart"/>
      <w:r>
        <w:t>predicted;</w:t>
      </w:r>
      <w:proofErr w:type="gramEnd"/>
    </w:p>
    <w:p w14:paraId="5548D0D4" w14:textId="77777777" w:rsidR="00972EB9" w:rsidRDefault="00972EB9" w:rsidP="00BC1330">
      <w:pPr>
        <w:pStyle w:val="NoSpacing"/>
        <w:ind w:left="1440"/>
      </w:pPr>
      <w:r>
        <w:t xml:space="preserve">• The RNG is regulated and governed by our licensing </w:t>
      </w:r>
      <w:proofErr w:type="gramStart"/>
      <w:r>
        <w:t>agreements;</w:t>
      </w:r>
      <w:proofErr w:type="gramEnd"/>
    </w:p>
    <w:p w14:paraId="675C15C9" w14:textId="41574304" w:rsidR="00E2171A" w:rsidRDefault="00972EB9" w:rsidP="00E2171A">
      <w:pPr>
        <w:pStyle w:val="NoSpacing"/>
        <w:ind w:left="1440"/>
      </w:pPr>
      <w:r>
        <w:t>• The RNG is regularly and rigorously tested by independent, industry-approved testing.</w:t>
      </w:r>
    </w:p>
    <w:p w14:paraId="23B4402E" w14:textId="77777777" w:rsidR="00E2171A" w:rsidRDefault="00E2171A" w:rsidP="00E2171A">
      <w:pPr>
        <w:pStyle w:val="NoSpacing"/>
        <w:ind w:left="1440"/>
      </w:pPr>
    </w:p>
    <w:p w14:paraId="00282988" w14:textId="4B3B8064" w:rsidR="00972EB9" w:rsidRDefault="00972EB9" w:rsidP="00972EB9">
      <w:pPr>
        <w:pStyle w:val="NoSpacing"/>
        <w:numPr>
          <w:ilvl w:val="1"/>
          <w:numId w:val="12"/>
        </w:numPr>
      </w:pPr>
      <w:r>
        <w:lastRenderedPageBreak/>
        <w:t xml:space="preserve">The Theoretical Return to Player (the “RTP”) value is a theoretical calculation of the expected percentage of wagers that a specific game will return to player after a significant </w:t>
      </w:r>
      <w:proofErr w:type="gramStart"/>
      <w:r>
        <w:t>amount</w:t>
      </w:r>
      <w:proofErr w:type="gramEnd"/>
      <w:r>
        <w:t xml:space="preserve"> of plays (e.g. hundreds of millions game plays). While every single game play is unpredictable and it is possible to win a big amount or lose your bet, the average return of a specific game in the long run will approach the Theoretical RTP value. The RTP value is calculated via either a theoretical or simulated approach with the method used depending on the game type.</w:t>
      </w:r>
    </w:p>
    <w:p w14:paraId="3959CF24" w14:textId="77777777" w:rsidR="00E2171A" w:rsidRDefault="00E2171A" w:rsidP="00E2171A">
      <w:pPr>
        <w:pStyle w:val="NoSpacing"/>
        <w:ind w:left="720"/>
      </w:pPr>
    </w:p>
    <w:p w14:paraId="1FCDE79A" w14:textId="6F14F84C" w:rsidR="00972EB9" w:rsidRDefault="00972EB9" w:rsidP="00972EB9">
      <w:pPr>
        <w:pStyle w:val="NoSpacing"/>
        <w:numPr>
          <w:ilvl w:val="1"/>
          <w:numId w:val="12"/>
        </w:numPr>
      </w:pPr>
      <w:r>
        <w:t>Developers, software providers and certifiers conduct compliance testing to verify elements such as functionality, display, transaction, rules, and mathematics (RNG, RTP) to ensure the compliance of the overall product to applicable regulatory requirements. Subsequently, the Company makes testing including Integration Testing and User Acceptance testing, thus guaranteeing the game integrated into our gaming platform as it was expected in terms of user experience.</w:t>
      </w:r>
    </w:p>
    <w:p w14:paraId="6947797A" w14:textId="77777777" w:rsidR="00E2171A" w:rsidRDefault="00E2171A" w:rsidP="00E2171A">
      <w:pPr>
        <w:pStyle w:val="NoSpacing"/>
      </w:pPr>
    </w:p>
    <w:p w14:paraId="1910C517" w14:textId="62AD6EF0" w:rsidR="00723C80" w:rsidRDefault="00972EB9" w:rsidP="00972EB9">
      <w:pPr>
        <w:pStyle w:val="NoSpacing"/>
        <w:numPr>
          <w:ilvl w:val="1"/>
          <w:numId w:val="12"/>
        </w:numPr>
      </w:pPr>
      <w:r>
        <w:t>The Company’s fairness, transparency and rightfulness of RNG methods used in the offered games are confirmed by Verification Seal of designated authority in Company’s website https://coinpoker.com/ (or associated companies websites).</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457C8"/>
    <w:multiLevelType w:val="multilevel"/>
    <w:tmpl w:val="DEAC04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9"/>
  </w:num>
  <w:num w:numId="2" w16cid:durableId="1146122993">
    <w:abstractNumId w:val="1"/>
  </w:num>
  <w:num w:numId="3" w16cid:durableId="1845706955">
    <w:abstractNumId w:val="8"/>
  </w:num>
  <w:num w:numId="4" w16cid:durableId="1574271301">
    <w:abstractNumId w:val="3"/>
  </w:num>
  <w:num w:numId="5" w16cid:durableId="1274751937">
    <w:abstractNumId w:val="6"/>
  </w:num>
  <w:num w:numId="6" w16cid:durableId="1589582940">
    <w:abstractNumId w:val="5"/>
  </w:num>
  <w:num w:numId="7" w16cid:durableId="1079594601">
    <w:abstractNumId w:val="7"/>
  </w:num>
  <w:num w:numId="8" w16cid:durableId="1701586368">
    <w:abstractNumId w:val="0"/>
  </w:num>
  <w:num w:numId="9" w16cid:durableId="1564634175">
    <w:abstractNumId w:val="10"/>
  </w:num>
  <w:num w:numId="10" w16cid:durableId="316884495">
    <w:abstractNumId w:val="11"/>
  </w:num>
  <w:num w:numId="11" w16cid:durableId="248974427">
    <w:abstractNumId w:val="4"/>
  </w:num>
  <w:num w:numId="12" w16cid:durableId="110966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32ED5"/>
    <w:rsid w:val="00092B4F"/>
    <w:rsid w:val="000B6E69"/>
    <w:rsid w:val="000D6DF0"/>
    <w:rsid w:val="00146765"/>
    <w:rsid w:val="001D034D"/>
    <w:rsid w:val="002015A0"/>
    <w:rsid w:val="00232AC7"/>
    <w:rsid w:val="00245A2D"/>
    <w:rsid w:val="00276B54"/>
    <w:rsid w:val="0032739F"/>
    <w:rsid w:val="00343777"/>
    <w:rsid w:val="00373C57"/>
    <w:rsid w:val="004B739C"/>
    <w:rsid w:val="00581D7D"/>
    <w:rsid w:val="00621EB4"/>
    <w:rsid w:val="00625164"/>
    <w:rsid w:val="006943E2"/>
    <w:rsid w:val="00723C80"/>
    <w:rsid w:val="00763032"/>
    <w:rsid w:val="00776838"/>
    <w:rsid w:val="00856180"/>
    <w:rsid w:val="00912D14"/>
    <w:rsid w:val="00972EB9"/>
    <w:rsid w:val="00980EDE"/>
    <w:rsid w:val="009925F0"/>
    <w:rsid w:val="009A035F"/>
    <w:rsid w:val="00A663A0"/>
    <w:rsid w:val="00B27AD4"/>
    <w:rsid w:val="00B531D8"/>
    <w:rsid w:val="00B733FF"/>
    <w:rsid w:val="00BC1330"/>
    <w:rsid w:val="00C03954"/>
    <w:rsid w:val="00C10F13"/>
    <w:rsid w:val="00C22E8A"/>
    <w:rsid w:val="00C30A27"/>
    <w:rsid w:val="00C51384"/>
    <w:rsid w:val="00D41730"/>
    <w:rsid w:val="00D47A7E"/>
    <w:rsid w:val="00DA4B24"/>
    <w:rsid w:val="00E2171A"/>
    <w:rsid w:val="00EB32B7"/>
    <w:rsid w:val="00EC2134"/>
    <w:rsid w:val="00EC7E0B"/>
    <w:rsid w:val="00F46208"/>
    <w:rsid w:val="00F630BF"/>
    <w:rsid w:val="00FB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13</cp:revision>
  <dcterms:created xsi:type="dcterms:W3CDTF">2025-05-08T12:27:00Z</dcterms:created>
  <dcterms:modified xsi:type="dcterms:W3CDTF">2025-05-12T13:28:00Z</dcterms:modified>
</cp:coreProperties>
</file>